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es la descripci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f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sica de Mar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de Mendoza que hace Gutierre de Cetina? Anota los rasgos, caracter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sticas y met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foras que usa. Si hiciste una lectura de la secci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anterior sobre la belleza en el Siglo de Oro,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es esta una belleza mod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lica?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 es el estatus que el poeta otorga a la dama respecto de la naturaleza con la que es comparada?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mo ser relaciona con el concepto de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divinidad del amado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que explica Le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Hebreo: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Puedes observar adema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es-ES_tradnl"/>
        </w:rPr>
        <w:t>s que, en el pensamiento del amante, el amado es venerado, contemplado y adorado como un verdadero dios, y la belleza de 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es-ES_tradnl"/>
        </w:rPr>
        <w:t>ste es considerada divina por el amante, de suerte que ninguna otra se le puede comparar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mo se relaciona con el sentido del poema la cita de Ficino que dice: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El amante es ma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es-ES_tradnl"/>
        </w:rPr>
        <w:t>s excelente cuanto mayor es la belleza que ama, porque las cosas extremadamente hermosas mucho embellecen a quienes las aman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D. El soneto V de Garcilaso comienza 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Escrito 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en mi alma vuestro gesto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? De acuerdo con las citas de Marsilio Ficino y Le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Hebreo, qui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inscribe en el alma del poeta, o 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se produce este fen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meno de escritura en el alma del amante y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tiene que ver con el amor?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E.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Te parece la mujer en estos poemas un sujeto activo o un sujeto pasivo?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 es su papel 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tu lectura?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La belleza del gesto y el amor por la mirada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